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1F" w:rsidRDefault="00DE18CE">
      <w:pPr>
        <w:spacing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r>
        <w:rPr>
          <w:rFonts w:ascii="黑体" w:eastAsia="黑体" w:hAnsi="黑体" w:cs="黑体" w:hint="eastAsia"/>
          <w:sz w:val="32"/>
          <w:szCs w:val="32"/>
        </w:rPr>
        <w:t>：</w:t>
      </w:r>
    </w:p>
    <w:p w:rsidR="00EF681F" w:rsidRDefault="00EF681F">
      <w:pPr>
        <w:spacing w:line="540" w:lineRule="exact"/>
        <w:rPr>
          <w:rFonts w:ascii="黑体" w:eastAsia="黑体" w:hAnsi="黑体" w:cs="黑体"/>
          <w:sz w:val="32"/>
          <w:szCs w:val="32"/>
        </w:rPr>
      </w:pPr>
      <w:bookmarkStart w:id="0" w:name="_GoBack"/>
      <w:bookmarkEnd w:id="0"/>
    </w:p>
    <w:p w:rsidR="00EF681F" w:rsidRDefault="00DE18CE">
      <w:pPr>
        <w:adjustRightInd w:val="0"/>
        <w:snapToGrid w:val="0"/>
        <w:spacing w:line="52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福州市律师协会</w:t>
      </w:r>
    </w:p>
    <w:p w:rsidR="00EF681F" w:rsidRDefault="00DE18CE">
      <w:pPr>
        <w:adjustRightInd w:val="0"/>
        <w:snapToGrid w:val="0"/>
        <w:spacing w:line="52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律师论坛组织及论文评选工作规则</w:t>
      </w:r>
    </w:p>
    <w:p w:rsidR="00EF681F" w:rsidRDefault="00EF681F" w:rsidP="00474612">
      <w:pPr>
        <w:adjustRightInd w:val="0"/>
        <w:snapToGrid w:val="0"/>
        <w:spacing w:beforeLines="50" w:line="480" w:lineRule="atLeast"/>
        <w:rPr>
          <w:rFonts w:ascii="黑体" w:eastAsia="黑体" w:hAnsi="宋体"/>
          <w:sz w:val="24"/>
        </w:rPr>
      </w:pPr>
    </w:p>
    <w:p w:rsidR="00EF681F" w:rsidRDefault="00DE18CE" w:rsidP="00474612">
      <w:pPr>
        <w:adjustRightInd w:val="0"/>
        <w:snapToGrid w:val="0"/>
        <w:spacing w:beforeLines="50" w:line="520" w:lineRule="atLeast"/>
        <w:jc w:val="center"/>
        <w:rPr>
          <w:rFonts w:ascii="黑体" w:eastAsia="黑体" w:hAnsi="宋体"/>
          <w:sz w:val="32"/>
          <w:szCs w:val="32"/>
        </w:rPr>
      </w:pPr>
      <w:r>
        <w:rPr>
          <w:rFonts w:ascii="黑体" w:eastAsia="黑体" w:hAnsi="宋体" w:hint="eastAsia"/>
          <w:sz w:val="32"/>
          <w:szCs w:val="32"/>
        </w:rPr>
        <w:t>第一章</w:t>
      </w:r>
      <w:r>
        <w:rPr>
          <w:rFonts w:ascii="黑体" w:eastAsia="黑体" w:hAnsi="宋体" w:hint="eastAsia"/>
          <w:sz w:val="32"/>
          <w:szCs w:val="32"/>
        </w:rPr>
        <w:t xml:space="preserve"> </w:t>
      </w:r>
      <w:r>
        <w:rPr>
          <w:rFonts w:ascii="黑体" w:eastAsia="黑体" w:hAnsi="宋体" w:hint="eastAsia"/>
          <w:sz w:val="32"/>
          <w:szCs w:val="32"/>
        </w:rPr>
        <w:t>总则</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为规范福州市律师协会律师实务论坛的组织、论文撰写及论文评选工作，促进福州市律师的理论研究，提高福州市律师的论文水平，特制定本规则。</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福州市律师协会律师实务论坛每年组织一次，下设民商、刑事、行政、</w:t>
      </w:r>
      <w:r>
        <w:rPr>
          <w:rFonts w:ascii="仿宋_GB2312" w:eastAsia="仿宋_GB2312" w:hAnsi="仿宋_GB2312" w:cs="仿宋_GB2312" w:hint="eastAsia"/>
          <w:sz w:val="32"/>
          <w:szCs w:val="32"/>
        </w:rPr>
        <w:t>刑事诉讼</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公司、证券、金融、建设工程和房地产、诉讼与仲裁、知识产权、涉外商事、破产重组</w:t>
      </w:r>
      <w:r>
        <w:rPr>
          <w:rFonts w:ascii="仿宋_GB2312" w:eastAsia="仿宋_GB2312" w:hAnsi="仿宋_GB2312" w:cs="仿宋_GB2312" w:hint="eastAsia"/>
          <w:kern w:val="0"/>
          <w:sz w:val="32"/>
          <w:szCs w:val="32"/>
        </w:rPr>
        <w:t>并购</w:t>
      </w:r>
      <w:r>
        <w:rPr>
          <w:rFonts w:ascii="仿宋_GB2312" w:eastAsia="仿宋_GB2312" w:hAnsi="仿宋_GB2312" w:cs="仿宋_GB2312" w:hint="eastAsia"/>
          <w:kern w:val="0"/>
          <w:sz w:val="32"/>
          <w:szCs w:val="32"/>
        </w:rPr>
        <w:t>、劳动与社会保障、婚姻家事</w:t>
      </w:r>
      <w:r>
        <w:rPr>
          <w:rFonts w:ascii="仿宋_GB2312" w:eastAsia="仿宋_GB2312" w:hAnsi="仿宋_GB2312" w:cs="仿宋_GB2312" w:hint="eastAsia"/>
          <w:kern w:val="0"/>
          <w:sz w:val="32"/>
          <w:szCs w:val="32"/>
        </w:rPr>
        <w:t>法律、</w:t>
      </w:r>
      <w:r>
        <w:rPr>
          <w:rFonts w:ascii="仿宋_GB2312" w:eastAsia="仿宋_GB2312" w:hAnsi="仿宋_GB2312" w:cs="仿宋_GB2312" w:hint="eastAsia"/>
          <w:kern w:val="0"/>
          <w:sz w:val="32"/>
          <w:szCs w:val="32"/>
        </w:rPr>
        <w:t>财税</w:t>
      </w:r>
      <w:r w:rsidR="00474612">
        <w:rPr>
          <w:rFonts w:ascii="仿宋_GB2312" w:eastAsia="仿宋_GB2312" w:hAnsi="仿宋_GB2312" w:cs="仿宋_GB2312" w:hint="eastAsia"/>
          <w:kern w:val="0"/>
          <w:sz w:val="32"/>
          <w:szCs w:val="32"/>
        </w:rPr>
        <w:t>、</w:t>
      </w:r>
      <w:r w:rsidR="00474612" w:rsidRPr="00474612">
        <w:rPr>
          <w:rFonts w:ascii="仿宋_GB2312" w:eastAsia="仿宋_GB2312" w:hAnsi="仿宋_GB2312" w:cs="仿宋_GB2312" w:hint="eastAsia"/>
          <w:color w:val="FF0000"/>
          <w:kern w:val="0"/>
          <w:sz w:val="32"/>
          <w:szCs w:val="32"/>
        </w:rPr>
        <w:t>综合</w:t>
      </w:r>
      <w:r>
        <w:rPr>
          <w:rFonts w:ascii="仿宋_GB2312" w:eastAsia="仿宋_GB2312" w:hAnsi="仿宋_GB2312" w:cs="仿宋_GB2312" w:hint="eastAsia"/>
          <w:sz w:val="32"/>
          <w:szCs w:val="32"/>
        </w:rPr>
        <w:t>等分论坛。分论坛的具体设置可以根据福州市律师协会律师业务的发展、参评论文的数量由福州市律师协会常务理事会决定增加或减少。</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律师实务论坛由福州市律师协会业务指导与教育委员会负责牵头并组织实施，福州市律师协会各法律专业委员会分别负责承办各分论坛的具体组织活动及论文的筛选、初评工作，福州市律师协会秘书处负责律师实务论坛的会务工作。</w:t>
      </w:r>
    </w:p>
    <w:p w:rsidR="00EF681F" w:rsidRDefault="00DE18CE" w:rsidP="00474612">
      <w:pPr>
        <w:adjustRightInd w:val="0"/>
        <w:snapToGrid w:val="0"/>
        <w:spacing w:beforeLines="50" w:line="520" w:lineRule="atLeast"/>
        <w:jc w:val="center"/>
        <w:rPr>
          <w:rFonts w:ascii="黑体" w:eastAsia="黑体" w:hAnsi="宋体"/>
          <w:sz w:val="32"/>
          <w:szCs w:val="32"/>
        </w:rPr>
      </w:pPr>
      <w:r>
        <w:rPr>
          <w:rFonts w:ascii="黑体" w:eastAsia="黑体" w:hAnsi="宋体" w:hint="eastAsia"/>
          <w:sz w:val="32"/>
          <w:szCs w:val="32"/>
        </w:rPr>
        <w:t>第二章</w:t>
      </w:r>
      <w:r>
        <w:rPr>
          <w:rFonts w:ascii="黑体" w:eastAsia="黑体" w:hAnsi="宋体" w:hint="eastAsia"/>
          <w:sz w:val="32"/>
          <w:szCs w:val="32"/>
        </w:rPr>
        <w:t xml:space="preserve"> </w:t>
      </w:r>
      <w:r>
        <w:rPr>
          <w:rFonts w:ascii="黑体" w:eastAsia="黑体" w:hAnsi="宋体" w:hint="eastAsia"/>
          <w:sz w:val="32"/>
          <w:szCs w:val="32"/>
        </w:rPr>
        <w:t>论文的选题和写作格式要求</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业务指导与教育委员会应在本年度的论坛开始前确定本年度的论坛主题，各法律专业委员应在业务指导</w:t>
      </w:r>
      <w:r>
        <w:rPr>
          <w:rFonts w:ascii="仿宋_GB2312" w:eastAsia="仿宋_GB2312" w:hAnsi="仿宋_GB2312" w:cs="仿宋_GB2312" w:hint="eastAsia"/>
          <w:sz w:val="32"/>
          <w:szCs w:val="32"/>
        </w:rPr>
        <w:lastRenderedPageBreak/>
        <w:t>与教育委员会的统一协调下按本规则确定的论</w:t>
      </w:r>
      <w:r>
        <w:rPr>
          <w:rFonts w:ascii="仿宋_GB2312" w:eastAsia="仿宋_GB2312" w:hAnsi="仿宋_GB2312" w:cs="仿宋_GB2312" w:hint="eastAsia"/>
          <w:sz w:val="32"/>
          <w:szCs w:val="32"/>
        </w:rPr>
        <w:t>文选题范围在各自的法律专业范围内负责论文的选题工作，并把所选题目的初稿统一交由业务指导与教育委员会审定，由业务指导与教育委员会确定选题范围。</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律师实务论坛的论文选题的基本范围应包括如下方面：</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前沿或热点法律问题及法学理论的研究</w:t>
      </w:r>
      <w:bookmarkStart w:id="1" w:name="OLE_LINK1"/>
      <w:r>
        <w:rPr>
          <w:rFonts w:ascii="仿宋_GB2312" w:eastAsia="仿宋_GB2312" w:hAnsi="仿宋_GB2312" w:cs="仿宋_GB2312" w:hint="eastAsia"/>
          <w:sz w:val="32"/>
          <w:szCs w:val="32"/>
        </w:rPr>
        <w:t>；</w:t>
      </w:r>
      <w:bookmarkEnd w:id="1"/>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律师实务探讨；</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律师行业管理和行业发展问题；</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律师及律师事务所的文化、制度、队伍建设；</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与前述相关的法律课题。</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律师实务论坛的论文作者可以在上述选题范围内自定论文题目，但应限于对法律理论与实务问题的探讨。</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提交福州市律师论坛的论文应符</w:t>
      </w:r>
      <w:r>
        <w:rPr>
          <w:rFonts w:ascii="仿宋_GB2312" w:eastAsia="仿宋_GB2312" w:hAnsi="仿宋_GB2312" w:cs="仿宋_GB2312" w:hint="eastAsia"/>
          <w:sz w:val="32"/>
          <w:szCs w:val="32"/>
        </w:rPr>
        <w:t>合下列基本格式：</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论文要求观点鲜明，论据说理充分，语言流畅，文字简洁；</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论文字数以</w:t>
      </w:r>
      <w:r>
        <w:rPr>
          <w:rFonts w:ascii="仿宋_GB2312" w:eastAsia="仿宋_GB2312" w:hAnsi="仿宋_GB2312" w:cs="仿宋_GB2312" w:hint="eastAsia"/>
          <w:sz w:val="32"/>
          <w:szCs w:val="32"/>
        </w:rPr>
        <w:t>4000-10000</w:t>
      </w:r>
      <w:r>
        <w:rPr>
          <w:rFonts w:ascii="仿宋_GB2312" w:eastAsia="仿宋_GB2312" w:hAnsi="仿宋_GB2312" w:cs="仿宋_GB2312" w:hint="eastAsia"/>
          <w:sz w:val="32"/>
          <w:szCs w:val="32"/>
        </w:rPr>
        <w:t>字为限；</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论文内容应包括：题目、摘要、关键词、正文、参考文献、作者简介、</w:t>
      </w:r>
      <w:r w:rsidR="00474612" w:rsidRPr="00474612">
        <w:rPr>
          <w:rFonts w:ascii="仿宋_GB2312" w:eastAsia="仿宋_GB2312" w:hAnsi="仿宋_GB2312" w:cs="仿宋_GB2312" w:hint="eastAsia"/>
          <w:color w:val="FF0000"/>
          <w:sz w:val="32"/>
          <w:szCs w:val="32"/>
        </w:rPr>
        <w:t>论文分类、</w:t>
      </w:r>
      <w:r>
        <w:rPr>
          <w:rFonts w:ascii="仿宋_GB2312" w:eastAsia="仿宋_GB2312" w:hAnsi="仿宋_GB2312" w:cs="仿宋_GB2312" w:hint="eastAsia"/>
          <w:sz w:val="32"/>
          <w:szCs w:val="32"/>
        </w:rPr>
        <w:t>原创性声明等（作者简介应包括姓名、性别、所在的律师事务所名称、律师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实习律师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律师助理）；</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论文题目应当突出中心，简短明确；</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正文层次标题应简短明确，标题分级规范；</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论文引用的资料应列明出处，包括作者姓名、书名（文</w:t>
      </w:r>
      <w:r>
        <w:rPr>
          <w:rFonts w:ascii="仿宋_GB2312" w:eastAsia="仿宋_GB2312" w:hAnsi="仿宋_GB2312" w:cs="仿宋_GB2312" w:hint="eastAsia"/>
          <w:sz w:val="32"/>
          <w:szCs w:val="32"/>
        </w:rPr>
        <w:lastRenderedPageBreak/>
        <w:t>章名）、出版社（期刊名），出版或发表时间；</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论文按要求注明专业分类，标注于论文第一页的右上角；</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论文打印应统一使用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纸张，字体为宋体，并同时提交电子文档。</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论文的作者应确保论文的原创性和文责自负，不得有任何抄袭、剽窃等侵犯著作权行为。其中，论文主要观点及超过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％以上的论据引自他人文章的，均可认定为抄袭。作者应在论文末尾做出原创性声明，保证本篇论文的真实性。</w:t>
      </w:r>
    </w:p>
    <w:p w:rsidR="00EF681F" w:rsidRDefault="00DE18CE" w:rsidP="00474612">
      <w:pPr>
        <w:adjustRightInd w:val="0"/>
        <w:snapToGrid w:val="0"/>
        <w:spacing w:beforeLines="50" w:line="520" w:lineRule="atLeast"/>
        <w:jc w:val="center"/>
        <w:rPr>
          <w:rFonts w:ascii="黑体" w:eastAsia="黑体" w:hAnsi="宋体"/>
          <w:sz w:val="32"/>
          <w:szCs w:val="32"/>
        </w:rPr>
      </w:pPr>
      <w:r>
        <w:rPr>
          <w:rFonts w:ascii="黑体" w:eastAsia="黑体" w:hAnsi="宋体" w:hint="eastAsia"/>
          <w:sz w:val="32"/>
          <w:szCs w:val="32"/>
        </w:rPr>
        <w:t>第三章</w:t>
      </w:r>
      <w:r>
        <w:rPr>
          <w:rFonts w:ascii="黑体" w:eastAsia="黑体" w:hAnsi="宋体" w:hint="eastAsia"/>
          <w:sz w:val="32"/>
          <w:szCs w:val="32"/>
        </w:rPr>
        <w:t xml:space="preserve">  </w:t>
      </w:r>
      <w:r>
        <w:rPr>
          <w:rFonts w:ascii="黑体" w:eastAsia="黑体" w:hAnsi="宋体" w:hint="eastAsia"/>
          <w:sz w:val="32"/>
          <w:szCs w:val="32"/>
        </w:rPr>
        <w:t>论坛参加对象</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凡在福州市律师协会所属的律师事务所内的执业律师、实习律师均可参加福州市律师论坛的论文征集。</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律师实务论坛鼓励福州市律师协会所属律师事务所的律师助理及行政人员积极撰写论文参加论坛。</w:t>
      </w:r>
    </w:p>
    <w:p w:rsidR="00EF681F" w:rsidRDefault="00DE18CE" w:rsidP="00474612">
      <w:pPr>
        <w:adjustRightInd w:val="0"/>
        <w:snapToGrid w:val="0"/>
        <w:spacing w:beforeLines="50" w:line="520" w:lineRule="atLeast"/>
        <w:jc w:val="center"/>
        <w:rPr>
          <w:rFonts w:ascii="黑体" w:eastAsia="黑体" w:hAnsi="宋体"/>
          <w:sz w:val="32"/>
          <w:szCs w:val="32"/>
        </w:rPr>
      </w:pPr>
      <w:r>
        <w:rPr>
          <w:rFonts w:ascii="黑体" w:eastAsia="黑体" w:hAnsi="宋体" w:hint="eastAsia"/>
          <w:sz w:val="32"/>
          <w:szCs w:val="32"/>
        </w:rPr>
        <w:t>第四章</w:t>
      </w:r>
      <w:r>
        <w:rPr>
          <w:rFonts w:ascii="黑体" w:eastAsia="黑体" w:hAnsi="宋体" w:hint="eastAsia"/>
          <w:sz w:val="32"/>
          <w:szCs w:val="32"/>
        </w:rPr>
        <w:t xml:space="preserve">  </w:t>
      </w:r>
      <w:r>
        <w:rPr>
          <w:rFonts w:ascii="黑体" w:eastAsia="黑体" w:hAnsi="宋体" w:hint="eastAsia"/>
          <w:sz w:val="32"/>
          <w:szCs w:val="32"/>
        </w:rPr>
        <w:t>论文的征集与初选</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确定论文选题后，福州市律师协会所属各律师事务所应积极组织本所律师、实习律师、律师助理撰写论文。各律师事务所应于论文截止日期前统一向福州市律师协会提交论文。超过福州市律师协会确定的截止日提交的论文将不予接受。</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各法律专业委员会的委员应积极撰写论文参加论坛，委员在任期内必须至少提交一篇论文。</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福州市律师协会业务指导与教育委员会在</w:t>
      </w:r>
      <w:r>
        <w:rPr>
          <w:rFonts w:ascii="仿宋_GB2312" w:eastAsia="仿宋_GB2312" w:hAnsi="仿宋_GB2312" w:cs="仿宋_GB2312" w:hint="eastAsia"/>
          <w:sz w:val="32"/>
          <w:szCs w:val="32"/>
        </w:rPr>
        <w:lastRenderedPageBreak/>
        <w:t>论文提交截止日后组织各法律专业委员会所提交的论文按本规则的规定就论文的选题、格式、原创性等方面进行初选。</w:t>
      </w:r>
    </w:p>
    <w:p w:rsidR="00EF681F" w:rsidRDefault="00DE18CE" w:rsidP="00474612">
      <w:pPr>
        <w:adjustRightInd w:val="0"/>
        <w:snapToGrid w:val="0"/>
        <w:spacing w:beforeLines="50" w:line="520" w:lineRule="atLeast"/>
        <w:jc w:val="center"/>
        <w:rPr>
          <w:rFonts w:ascii="黑体" w:eastAsia="黑体" w:hAnsi="宋体"/>
          <w:sz w:val="32"/>
          <w:szCs w:val="32"/>
        </w:rPr>
      </w:pPr>
      <w:r>
        <w:rPr>
          <w:rFonts w:ascii="黑体" w:eastAsia="黑体" w:hAnsi="宋体" w:hint="eastAsia"/>
          <w:sz w:val="32"/>
          <w:szCs w:val="32"/>
        </w:rPr>
        <w:t>第五章</w:t>
      </w:r>
      <w:r>
        <w:rPr>
          <w:rFonts w:ascii="黑体" w:eastAsia="黑体" w:hAnsi="宋体" w:hint="eastAsia"/>
          <w:sz w:val="32"/>
          <w:szCs w:val="32"/>
        </w:rPr>
        <w:t xml:space="preserve"> </w:t>
      </w:r>
      <w:r>
        <w:rPr>
          <w:rFonts w:ascii="黑体" w:eastAsia="黑体" w:hAnsi="宋体" w:hint="eastAsia"/>
          <w:sz w:val="32"/>
          <w:szCs w:val="32"/>
        </w:rPr>
        <w:t>论坛的组织与</w:t>
      </w:r>
      <w:r>
        <w:rPr>
          <w:rFonts w:ascii="黑体" w:eastAsia="黑体" w:hAnsi="宋体" w:hint="eastAsia"/>
          <w:sz w:val="32"/>
          <w:szCs w:val="32"/>
        </w:rPr>
        <w:t>论文评选</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律师实务论坛分为分论坛讨论和大会讨论两种形式。分论坛的组织由各法律专业委员会负责，各法律专业委员会的主任或副主任以及由业务指导与教育委员会推荐相关人员作为分论坛的组织者和点评人。参会的论文作者可以就论文的观点进行提问、讨论和交流。</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经分论坛推荐的论文可以参加大会的研讨和优秀论文的评选。</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优秀论文的评选采取专家推荐和分论坛投票相结合的方式选出。论坛组委会也可以决定由专家推荐评选优秀论文。</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律师实务论坛设立论文评选委员会，由有关专家、学者及具有较高理论水平的执业律师组成。论文作者不作为评选委员会成员。</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律师实务论坛设优秀论文奖、论文组织奖，对获奖人员和律师事务所给予相应奖励。</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评选论文组织奖、优秀论文组织奖等奖项应考虑以下因素：</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本所提交论文篇数</w:t>
      </w:r>
      <w:r>
        <w:rPr>
          <w:rFonts w:ascii="仿宋_GB2312" w:eastAsia="仿宋_GB2312" w:hAnsi="仿宋_GB2312" w:cs="仿宋_GB2312" w:hint="eastAsia"/>
          <w:sz w:val="32"/>
          <w:szCs w:val="32"/>
        </w:rPr>
        <w:t>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本所实际参加论坛的论文作者需不低于应参会论文作者</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p>
    <w:p w:rsidR="00EF681F" w:rsidRDefault="00DE18CE">
      <w:pPr>
        <w:adjustRightInd w:val="0"/>
        <w:snapToGrid w:val="0"/>
        <w:spacing w:line="52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优秀论文组织奖评选顺序参照本所优秀论文获奖数评选。</w:t>
      </w:r>
    </w:p>
    <w:p w:rsidR="00474612" w:rsidRPr="00D903DE" w:rsidRDefault="00DE18CE">
      <w:pPr>
        <w:adjustRightInd w:val="0"/>
        <w:snapToGrid w:val="0"/>
        <w:spacing w:line="520" w:lineRule="atLeast"/>
        <w:ind w:firstLineChars="200" w:firstLine="640"/>
        <w:rPr>
          <w:rFonts w:ascii="仿宋_GB2312" w:eastAsia="仿宋_GB2312" w:hAnsi="仿宋_GB2312" w:cs="仿宋_GB2312" w:hint="eastAsia"/>
          <w:color w:val="FF0000"/>
          <w:sz w:val="32"/>
          <w:szCs w:val="32"/>
        </w:rPr>
      </w:pPr>
      <w:r w:rsidRPr="00D903DE">
        <w:rPr>
          <w:rFonts w:ascii="黑体" w:eastAsia="黑体" w:hAnsi="黑体" w:cs="黑体" w:hint="eastAsia"/>
          <w:color w:val="FF0000"/>
          <w:sz w:val="32"/>
          <w:szCs w:val="32"/>
        </w:rPr>
        <w:lastRenderedPageBreak/>
        <w:t>第二十条</w:t>
      </w:r>
      <w:r w:rsidRPr="00D903DE">
        <w:rPr>
          <w:rFonts w:ascii="仿宋_GB2312" w:eastAsia="仿宋_GB2312" w:hAnsi="仿宋_GB2312" w:cs="仿宋_GB2312" w:hint="eastAsia"/>
          <w:color w:val="FF0000"/>
          <w:sz w:val="32"/>
          <w:szCs w:val="32"/>
        </w:rPr>
        <w:t xml:space="preserve">  </w:t>
      </w:r>
      <w:r w:rsidR="00474612" w:rsidRPr="00D903DE">
        <w:rPr>
          <w:rFonts w:ascii="仿宋_GB2312" w:eastAsia="仿宋_GB2312" w:hAnsi="仿宋_GB2312" w:cs="仿宋_GB2312" w:hint="eastAsia"/>
          <w:color w:val="FF0000"/>
          <w:sz w:val="32"/>
          <w:szCs w:val="32"/>
        </w:rPr>
        <w:t>两位以上作者合写的论文，计算律师所论文篇数时，只认定为第一作者所在律师所</w:t>
      </w:r>
      <w:r w:rsidR="00D903DE" w:rsidRPr="00D903DE">
        <w:rPr>
          <w:rFonts w:ascii="仿宋_GB2312" w:eastAsia="仿宋_GB2312" w:hAnsi="仿宋_GB2312" w:cs="仿宋_GB2312" w:hint="eastAsia"/>
          <w:color w:val="FF0000"/>
          <w:sz w:val="32"/>
          <w:szCs w:val="32"/>
        </w:rPr>
        <w:t>的</w:t>
      </w:r>
      <w:r w:rsidR="00D903DE">
        <w:rPr>
          <w:rFonts w:ascii="仿宋_GB2312" w:eastAsia="仿宋_GB2312" w:hAnsi="仿宋_GB2312" w:cs="仿宋_GB2312" w:hint="eastAsia"/>
          <w:color w:val="FF0000"/>
          <w:sz w:val="32"/>
          <w:szCs w:val="32"/>
        </w:rPr>
        <w:t>论文篇数</w:t>
      </w:r>
      <w:r w:rsidR="00474612" w:rsidRPr="00D903DE">
        <w:rPr>
          <w:rFonts w:ascii="仿宋_GB2312" w:eastAsia="仿宋_GB2312" w:hAnsi="仿宋_GB2312" w:cs="仿宋_GB2312" w:hint="eastAsia"/>
          <w:color w:val="FF0000"/>
          <w:sz w:val="32"/>
          <w:szCs w:val="32"/>
        </w:rPr>
        <w:t>。同一作者有两篇以上论文入选优秀论文候选篇目时，</w:t>
      </w:r>
      <w:r w:rsidR="00D903DE" w:rsidRPr="00D903DE">
        <w:rPr>
          <w:rFonts w:ascii="仿宋_GB2312" w:eastAsia="仿宋_GB2312" w:hAnsi="仿宋_GB2312" w:cs="仿宋_GB2312" w:hint="eastAsia"/>
          <w:color w:val="FF0000"/>
          <w:sz w:val="32"/>
          <w:szCs w:val="32"/>
        </w:rPr>
        <w:t>只能有一篇论文获奖。</w:t>
      </w:r>
    </w:p>
    <w:p w:rsidR="00EF681F" w:rsidRDefault="00D903D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第二十一条  </w:t>
      </w:r>
      <w:r w:rsidR="00DE18CE">
        <w:rPr>
          <w:rFonts w:ascii="仿宋_GB2312" w:eastAsia="仿宋_GB2312" w:hAnsi="仿宋_GB2312" w:cs="仿宋_GB2312" w:hint="eastAsia"/>
          <w:sz w:val="32"/>
          <w:szCs w:val="32"/>
        </w:rPr>
        <w:t>律师实务论坛在评选过程中若有发现抄袭、剽窃等行为的，论文评定均作为无效处理，同时取消抄袭者</w:t>
      </w:r>
      <w:r w:rsidR="00DE18CE">
        <w:rPr>
          <w:rFonts w:ascii="仿宋_GB2312" w:eastAsia="仿宋_GB2312" w:hAnsi="仿宋_GB2312" w:cs="仿宋_GB2312" w:hint="eastAsia"/>
          <w:sz w:val="32"/>
          <w:szCs w:val="32"/>
        </w:rPr>
        <w:t>所在律师事务所参评论文组织奖的资格，并予以通报批评。</w:t>
      </w:r>
    </w:p>
    <w:p w:rsidR="00EF681F" w:rsidRDefault="00D903D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sidR="00DE18CE">
        <w:rPr>
          <w:rFonts w:ascii="黑体" w:eastAsia="黑体" w:hAnsi="黑体" w:cs="黑体" w:hint="eastAsia"/>
          <w:sz w:val="32"/>
          <w:szCs w:val="32"/>
        </w:rPr>
        <w:t xml:space="preserve"> </w:t>
      </w:r>
      <w:r w:rsidR="00DE18CE">
        <w:rPr>
          <w:rFonts w:ascii="仿宋_GB2312" w:eastAsia="仿宋_GB2312" w:hAnsi="仿宋_GB2312" w:cs="仿宋_GB2312" w:hint="eastAsia"/>
          <w:sz w:val="32"/>
          <w:szCs w:val="32"/>
        </w:rPr>
        <w:t xml:space="preserve"> </w:t>
      </w:r>
      <w:r w:rsidR="00DE18CE">
        <w:rPr>
          <w:rFonts w:ascii="仿宋_GB2312" w:eastAsia="仿宋_GB2312" w:hAnsi="仿宋_GB2312" w:cs="仿宋_GB2312" w:hint="eastAsia"/>
          <w:sz w:val="32"/>
          <w:szCs w:val="32"/>
        </w:rPr>
        <w:t>若福州市律师协会所属律师事务所连续</w:t>
      </w:r>
      <w:r w:rsidR="00DE18CE">
        <w:rPr>
          <w:rFonts w:ascii="仿宋_GB2312" w:eastAsia="仿宋_GB2312" w:hAnsi="仿宋_GB2312" w:cs="仿宋_GB2312" w:hint="eastAsia"/>
          <w:sz w:val="32"/>
          <w:szCs w:val="32"/>
        </w:rPr>
        <w:t>3</w:t>
      </w:r>
      <w:r w:rsidR="00DE18CE">
        <w:rPr>
          <w:rFonts w:ascii="仿宋_GB2312" w:eastAsia="仿宋_GB2312" w:hAnsi="仿宋_GB2312" w:cs="仿宋_GB2312" w:hint="eastAsia"/>
          <w:sz w:val="32"/>
          <w:szCs w:val="32"/>
        </w:rPr>
        <w:t>年内无律师参与撰写论文，福州市律师协会将不优先考虑其参与各评优活动，也不优先考虑增补该律师事务所的律师为各法律专业委员会委员。</w:t>
      </w:r>
    </w:p>
    <w:p w:rsidR="00EF681F" w:rsidRDefault="00D903D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sidR="00DE18CE">
        <w:rPr>
          <w:rFonts w:ascii="黑体" w:eastAsia="黑体" w:hAnsi="黑体" w:cs="黑体" w:hint="eastAsia"/>
          <w:sz w:val="32"/>
          <w:szCs w:val="32"/>
        </w:rPr>
        <w:t xml:space="preserve"> </w:t>
      </w:r>
      <w:r w:rsidR="00DE18CE">
        <w:rPr>
          <w:rFonts w:ascii="仿宋_GB2312" w:eastAsia="仿宋_GB2312" w:hAnsi="仿宋_GB2312" w:cs="仿宋_GB2312" w:hint="eastAsia"/>
          <w:sz w:val="32"/>
          <w:szCs w:val="32"/>
        </w:rPr>
        <w:t xml:space="preserve"> </w:t>
      </w:r>
      <w:r w:rsidR="00DE18CE">
        <w:rPr>
          <w:rFonts w:ascii="仿宋_GB2312" w:eastAsia="仿宋_GB2312" w:hAnsi="仿宋_GB2312" w:cs="仿宋_GB2312" w:hint="eastAsia"/>
          <w:sz w:val="32"/>
          <w:szCs w:val="32"/>
        </w:rPr>
        <w:t>福州市律师协会将优秀论文推荐参加行业组织的研讨及评选，并对评选的优秀论文进行汇编出版。</w:t>
      </w:r>
    </w:p>
    <w:p w:rsidR="00EF681F" w:rsidRDefault="00D903D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sidR="00DE18CE">
        <w:rPr>
          <w:rFonts w:ascii="仿宋_GB2312" w:eastAsia="仿宋_GB2312" w:hAnsi="仿宋_GB2312" w:cs="仿宋_GB2312" w:hint="eastAsia"/>
          <w:sz w:val="32"/>
          <w:szCs w:val="32"/>
        </w:rPr>
        <w:t xml:space="preserve">  </w:t>
      </w:r>
      <w:r w:rsidR="00DE18CE">
        <w:rPr>
          <w:rFonts w:ascii="仿宋_GB2312" w:eastAsia="仿宋_GB2312" w:hAnsi="仿宋_GB2312" w:cs="仿宋_GB2312" w:hint="eastAsia"/>
          <w:sz w:val="32"/>
          <w:szCs w:val="32"/>
        </w:rPr>
        <w:t>本规则由福州市律师协会业务指导与教育委员会讨论通过并试行。</w:t>
      </w:r>
    </w:p>
    <w:p w:rsidR="00EF681F" w:rsidRDefault="00D903DE">
      <w:pPr>
        <w:adjustRightInd w:val="0"/>
        <w:snapToGrid w:val="0"/>
        <w:spacing w:line="520" w:lineRule="atLeas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sidR="00DE18CE">
        <w:rPr>
          <w:rFonts w:ascii="黑体" w:eastAsia="黑体" w:hAnsi="黑体" w:cs="黑体" w:hint="eastAsia"/>
          <w:sz w:val="32"/>
          <w:szCs w:val="32"/>
        </w:rPr>
        <w:t xml:space="preserve"> </w:t>
      </w:r>
      <w:r w:rsidR="00DE18CE">
        <w:rPr>
          <w:rFonts w:ascii="仿宋_GB2312" w:eastAsia="仿宋_GB2312" w:hAnsi="仿宋_GB2312" w:cs="仿宋_GB2312" w:hint="eastAsia"/>
          <w:sz w:val="32"/>
          <w:szCs w:val="32"/>
        </w:rPr>
        <w:t xml:space="preserve"> </w:t>
      </w:r>
      <w:r w:rsidR="00DE18CE">
        <w:rPr>
          <w:rFonts w:ascii="仿宋_GB2312" w:eastAsia="仿宋_GB2312" w:hAnsi="仿宋_GB2312" w:cs="仿宋_GB2312" w:hint="eastAsia"/>
          <w:sz w:val="32"/>
          <w:szCs w:val="32"/>
        </w:rPr>
        <w:t>本规则自公布之日起施行。</w:t>
      </w:r>
    </w:p>
    <w:p w:rsidR="00EF681F" w:rsidRDefault="00EF681F"/>
    <w:sectPr w:rsidR="00EF681F" w:rsidSect="00EF68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CE" w:rsidRDefault="00DE18CE" w:rsidP="00474612">
      <w:r>
        <w:separator/>
      </w:r>
    </w:p>
  </w:endnote>
  <w:endnote w:type="continuationSeparator" w:id="0">
    <w:p w:rsidR="00DE18CE" w:rsidRDefault="00DE18CE" w:rsidP="0047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CE" w:rsidRDefault="00DE18CE" w:rsidP="00474612">
      <w:r>
        <w:separator/>
      </w:r>
    </w:p>
  </w:footnote>
  <w:footnote w:type="continuationSeparator" w:id="0">
    <w:p w:rsidR="00DE18CE" w:rsidRDefault="00DE18CE" w:rsidP="00474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485DBE"/>
    <w:rsid w:val="00474612"/>
    <w:rsid w:val="00D903DE"/>
    <w:rsid w:val="00DE18CE"/>
    <w:rsid w:val="00EF681F"/>
    <w:rsid w:val="03EF361B"/>
    <w:rsid w:val="1A485DBE"/>
    <w:rsid w:val="2735202B"/>
    <w:rsid w:val="32DB6568"/>
    <w:rsid w:val="32E20516"/>
    <w:rsid w:val="3611318D"/>
    <w:rsid w:val="6F843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8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4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4612"/>
    <w:rPr>
      <w:kern w:val="2"/>
      <w:sz w:val="18"/>
      <w:szCs w:val="18"/>
    </w:rPr>
  </w:style>
  <w:style w:type="paragraph" w:styleId="a4">
    <w:name w:val="footer"/>
    <w:basedOn w:val="a"/>
    <w:link w:val="Char0"/>
    <w:rsid w:val="00474612"/>
    <w:pPr>
      <w:tabs>
        <w:tab w:val="center" w:pos="4153"/>
        <w:tab w:val="right" w:pos="8306"/>
      </w:tabs>
      <w:snapToGrid w:val="0"/>
      <w:jc w:val="left"/>
    </w:pPr>
    <w:rPr>
      <w:sz w:val="18"/>
      <w:szCs w:val="18"/>
    </w:rPr>
  </w:style>
  <w:style w:type="character" w:customStyle="1" w:styleId="Char0">
    <w:name w:val="页脚 Char"/>
    <w:basedOn w:val="a0"/>
    <w:link w:val="a4"/>
    <w:rsid w:val="0047461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2018-03-12T01:57:00Z</dcterms:created>
  <dcterms:modified xsi:type="dcterms:W3CDTF">2020-01-10T14:00:00Z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