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9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right="980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福州律师论坛论文体例和格式要求</w:t>
      </w:r>
    </w:p>
    <w:p>
      <w:pPr>
        <w:spacing w:line="380" w:lineRule="exact"/>
        <w:ind w:firstLine="560"/>
        <w:jc w:val="center"/>
        <w:rPr>
          <w:rFonts w:hint="eastAsia" w:ascii="仿宋_GB2312" w:hAnsi="仿宋_GB2312" w:eastAsia="仿宋_GB2312" w:cs="仿宋_GB2312"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32"/>
        </w:rPr>
        <w:t>（20</w:t>
      </w:r>
      <w:r>
        <w:rPr>
          <w:rFonts w:hint="eastAsia" w:ascii="仿宋_GB2312" w:hAnsi="仿宋_GB2312" w:eastAsia="仿宋_GB2312" w:cs="仿宋_GB2312"/>
          <w:bCs/>
          <w:sz w:val="28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28"/>
          <w:szCs w:val="32"/>
        </w:rPr>
        <w:t>年）</w:t>
      </w:r>
    </w:p>
    <w:p>
      <w:pPr>
        <w:spacing w:line="380" w:lineRule="exact"/>
        <w:ind w:firstLine="560"/>
        <w:jc w:val="center"/>
        <w:rPr>
          <w:rFonts w:hint="eastAsia" w:eastAsia="黑体"/>
          <w:bCs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jc w:val="center"/>
        <w:textAlignment w:val="auto"/>
        <w:outlineLvl w:val="9"/>
        <w:rPr>
          <w:rFonts w:eastAsia="黑体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一、论文的字数限制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每篇论文正文原则上4000—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二、内容要求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紧扣前沿或热点的法律问题和法学理论研究，紧密联系实际；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观点新颖，主题鲜明，内容充实；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立论严谨，引用资料真实可信，论述清晰，论证有力，合乎逻辑；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结构完整，文字准确、简明、流畅。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三、体例要求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(一)题目：20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字以内，2号黑体。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(二)署名：置题目下，包括作者姓名、工作单位，3号仿宋体。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(三)内容提要：内容提要在300字以内，5号仿宋体；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(四)关键词：3－5个，5号黑体。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(五)正文：5号宋体。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(六)注释和参考文献：置于文后，5号仿宋体。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772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77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jc w:val="center"/>
        </w:trPr>
        <w:tc>
          <w:tcPr>
            <w:tcW w:w="77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eastAsia="楷体_GB2312"/>
                <w:b/>
                <w:color w:val="0000FF"/>
                <w:sz w:val="24"/>
              </w:rPr>
            </w:pPr>
            <w:r>
              <w:rPr>
                <w:rFonts w:hint="eastAsia" w:eastAsia="楷体_GB2312"/>
                <w:b/>
                <w:color w:val="0000FF"/>
                <w:sz w:val="24"/>
              </w:rPr>
              <w:t>注释和参考文献的格式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1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…</w:t>
            </w:r>
            <w:r>
              <w:rPr>
                <w:rFonts w:hint="eastAsia" w:eastAsia="楷体_GB2312"/>
                <w:szCs w:val="21"/>
              </w:rPr>
              <w:t>页。例：陈瑞华：《刑事诉讼的前沿问题》，中国人民大学出版社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518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2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页。例：黄美园：《我国公司僵局司法救济制度之构建》，《法律适用》，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45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3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年版。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eastAsia="楷体_GB2312"/>
                <w:szCs w:val="21"/>
              </w:rPr>
              <w:t xml:space="preserve">    4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(七)页码：置于各页底居中位置。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(八)作者联系方式：置于文后，包括地址、邮编、电话和E-mail，并应写明本人最高学历，注明专职、兼职、实习律师以及从事律师工作年限等信息。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四、论文专业分类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标注在论文第1页的右上角。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34C7"/>
    <w:rsid w:val="1F9E17B0"/>
    <w:rsid w:val="30D734C7"/>
    <w:rsid w:val="3DEA5F9F"/>
    <w:rsid w:val="5CDD4722"/>
    <w:rsid w:val="6A054217"/>
    <w:rsid w:val="6F4E0261"/>
    <w:rsid w:val="712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2018-03-12T01:57:00Z</dcterms:created>
  <dc:creator>lenovo</dc:creator>
  <cp:lastModifiedBy>甘采风</cp:lastModifiedBy>
  <dcterms:modified xsi:type="dcterms:W3CDTF">2022-01-28T01:35:33Z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13B5F7D5890D49C9AC982163AEE076C7</vt:lpwstr>
  </property>
</Properties>
</file>