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论文选题目录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一、党建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律所党建与律所合规管理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律所党建与律所一体化建设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律所党建与律所治理的融合与创新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律师行业党建工作存在的问题与对策研究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律所党建与律师业务的融合与发展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二、民商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建设工程合同结算纠纷的相关问题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民法典合同编相关问题研究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通谋虚伪法律适用问题研究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买卖合同纠纷有相关问题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电子商务合同相关问题研究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担保制度相关问题研究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公司诉讼相关问题研究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执行异议之诉相关问题研究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民事与刑事相关问题研究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诉的利益问题研究</w:t>
      </w:r>
    </w:p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三、刑事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1、涉案财物的处置与“财产辩护”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2、刑罚的附带效应及消解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3、协商式辩护及边界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4、行政犯违法性认识与辩护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5、刑事案件律师辩护全覆盖对律师行业发展的挑战与机遇</w:t>
      </w:r>
    </w:p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四、行政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1、律师服务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法治政府建设研究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行政纠纷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实质性</w:t>
      </w:r>
      <w:r>
        <w:rPr>
          <w:rFonts w:hint="eastAsia" w:ascii="仿宋_GB2312" w:hAnsi="仿宋_GB2312" w:eastAsia="仿宋_GB2312" w:cs="仿宋_GB2312"/>
          <w:sz w:val="32"/>
          <w:szCs w:val="32"/>
        </w:rPr>
        <w:t>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行政复议与行政诉讼制度衔接问题研究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4、企业行政合规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5、企业合规整改行刑衔接机制研究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行政与民事、刑事交叉案件法律适用问题研究</w:t>
      </w:r>
    </w:p>
    <w:p>
      <w:pPr>
        <w:rPr>
          <w:rFonts w:hint="eastAsia"/>
          <w:sz w:val="30"/>
          <w:szCs w:val="3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NmRkMGU5MWRmNTc4YjY2ZTlhOGViZjgyNTdkMmQifQ=="/>
  </w:docVars>
  <w:rsids>
    <w:rsidRoot w:val="00AA177D"/>
    <w:rsid w:val="00461EC7"/>
    <w:rsid w:val="00AA177D"/>
    <w:rsid w:val="00B828F3"/>
    <w:rsid w:val="1618644E"/>
    <w:rsid w:val="30242966"/>
    <w:rsid w:val="3C2F1337"/>
    <w:rsid w:val="523D0BFF"/>
    <w:rsid w:val="582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110</Characters>
  <Lines>1</Lines>
  <Paragraphs>1</Paragraphs>
  <TotalTime>10</TotalTime>
  <ScaleCrop>false</ScaleCrop>
  <LinksUpToDate>false</LinksUpToDate>
  <CharactersWithSpaces>128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2023-01-13T10:36:00Z</dcterms:created>
  <dc:creator>liu bingrong</dc:creator>
  <cp:lastModifiedBy>甘采风</cp:lastModifiedBy>
  <dcterms:modified xsi:type="dcterms:W3CDTF">2023-01-18T02:57:13Z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2EB49F06BA434266A50DDD94EBEA4D31</vt:lpwstr>
  </property>
</Properties>
</file>