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第三届东南法治论坛论文情况统计表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61"/>
        <w:gridCol w:w="3060"/>
        <w:gridCol w:w="1440"/>
        <w:gridCol w:w="1140"/>
        <w:gridCol w:w="1500"/>
        <w:gridCol w:w="3210"/>
        <w:gridCol w:w="189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440" w:type="dxa"/>
            <w:vAlign w:val="center"/>
          </w:tcPr>
          <w:p>
            <w:pPr>
              <w:ind w:left="210" w:hanging="210" w:hanging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分论题类别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总字数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论文查重率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6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注：1.请按照论文题目所对应的分论题类别汇总，“分论题类别”只需填4个分论题的代码，如“分论题1”；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2.总字数包括正文字数和注释字数。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DI3ZjYxOWEzNGE2ODM4NWM0OTE5MTBkNmY3YTIifQ=="/>
  </w:docVars>
  <w:rsids>
    <w:rsidRoot w:val="7C6577D5"/>
    <w:rsid w:val="7C6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2023-05-31T01:31:00Z</dcterms:created>
  <dc:creator>雷丽娥</dc:creator>
  <cp:lastModifiedBy>雷丽娥</cp:lastModifiedBy>
  <dcterms:modified xsi:type="dcterms:W3CDTF">2023-05-31T01:41:06Z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22F67605B9474143BC0B00D4F2850C14_11</vt:lpwstr>
  </property>
</Properties>
</file>